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32A4F" w:rsidRDefault="00790698">
      <w:pPr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Списък на дървесните и недървесни продукти и екосистемни услуги предоставяни от ДГС Буйновци</w:t>
      </w:r>
    </w:p>
    <w:p w:rsidR="00432A4F" w:rsidRDefault="00790698">
      <w:pPr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I. Материални продукти и услуги</w:t>
      </w:r>
    </w:p>
    <w:p w:rsidR="00432A4F" w:rsidRDefault="00790698">
      <w:pPr>
        <w:spacing w:after="12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ab/>
        <w:t>Материалните услуги включват всички продукти, добити от екосистемите: храна, дървесина и др.</w:t>
      </w:r>
    </w:p>
    <w:p w:rsidR="00432A4F" w:rsidRDefault="00790698">
      <w:pPr>
        <w:spacing w:after="12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ab/>
        <w:t>1. Дървесина - Добиваната дървесина от ТП ДЛС Буйновци е от дървесни видове: бук, зимен дъб, цер, акация, бял бор, черен бор. Средният годишен добив по ГСП е 35 989 м3 лежаща маса. От буковата дървесина се добиват следните сортименти: трупи за фурнир, трупи за шперплат, трупи за бичене над 30 см, трупи за бичене 18-29 см, технологична дървесина от средна и дребна, ОЗМ и дърва за огрев. От иглолистната дървесина се добиват трупи за бичене над 30 см, трупи за бичене 18-29 см, трупи за бичене 15-17 см, обли греди, технологична дървесина от средна и дребна и дърва, ОЗМ.</w:t>
      </w:r>
    </w:p>
    <w:tbl>
      <w:tblPr>
        <w:tblW w:w="7938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29"/>
        <w:gridCol w:w="828"/>
        <w:gridCol w:w="828"/>
        <w:gridCol w:w="847"/>
        <w:gridCol w:w="827"/>
        <w:gridCol w:w="827"/>
        <w:gridCol w:w="960"/>
        <w:gridCol w:w="992"/>
      </w:tblGrid>
      <w:tr w:rsidR="002B743A" w:rsidRPr="002B743A" w:rsidTr="002B743A">
        <w:trPr>
          <w:trHeight w:val="615"/>
        </w:trPr>
        <w:tc>
          <w:tcPr>
            <w:tcW w:w="79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743A" w:rsidRPr="002B743A" w:rsidRDefault="002B743A" w:rsidP="002B7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B74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ГОДИШЕН ПЛАН ЗА ПОЛЗВАНЕ НА ДЪРВЕСИНА                                НА ТП ДГС БУЙНОВЦИ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ПРЕЗ</w:t>
            </w:r>
            <w:r w:rsidRPr="002B74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2019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Г</w:t>
            </w:r>
            <w:r w:rsidRPr="002B74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                                             </w:t>
            </w:r>
          </w:p>
        </w:tc>
      </w:tr>
      <w:tr w:rsidR="002B743A" w:rsidRPr="002B743A" w:rsidTr="002B743A">
        <w:trPr>
          <w:trHeight w:val="240"/>
        </w:trPr>
        <w:tc>
          <w:tcPr>
            <w:tcW w:w="26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743A" w:rsidRPr="002B743A" w:rsidRDefault="002B743A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743A" w:rsidRPr="002B743A" w:rsidRDefault="002B743A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743A" w:rsidRPr="002B743A" w:rsidRDefault="002B743A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743A" w:rsidRPr="002B743A" w:rsidRDefault="002B743A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743A" w:rsidRPr="002B743A" w:rsidRDefault="002B743A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743A" w:rsidRPr="002B743A" w:rsidRDefault="002B743A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743A" w:rsidRPr="002B743A" w:rsidRDefault="002B743A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743A" w:rsidRPr="002B743A" w:rsidTr="002B743A">
        <w:trPr>
          <w:trHeight w:val="255"/>
        </w:trPr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Показатели</w:t>
            </w:r>
          </w:p>
        </w:tc>
        <w:tc>
          <w:tcPr>
            <w:tcW w:w="82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Площ</w:t>
            </w:r>
          </w:p>
        </w:tc>
        <w:tc>
          <w:tcPr>
            <w:tcW w:w="82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Ст.маса</w:t>
            </w:r>
          </w:p>
        </w:tc>
        <w:tc>
          <w:tcPr>
            <w:tcW w:w="84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Лежаща</w:t>
            </w:r>
          </w:p>
        </w:tc>
        <w:tc>
          <w:tcPr>
            <w:tcW w:w="82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Едра</w:t>
            </w:r>
          </w:p>
        </w:tc>
        <w:tc>
          <w:tcPr>
            <w:tcW w:w="82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Средна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Дребна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Дърва</w:t>
            </w:r>
          </w:p>
        </w:tc>
      </w:tr>
      <w:tr w:rsidR="002B743A" w:rsidRPr="002B743A" w:rsidTr="002B743A">
        <w:trPr>
          <w:trHeight w:val="255"/>
        </w:trPr>
        <w:tc>
          <w:tcPr>
            <w:tcW w:w="1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ха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м3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маса м3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м3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м3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м3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м3</w:t>
            </w:r>
          </w:p>
        </w:tc>
      </w:tr>
      <w:tr w:rsidR="002B743A" w:rsidRPr="002B743A" w:rsidTr="002B743A">
        <w:trPr>
          <w:trHeight w:val="255"/>
        </w:trPr>
        <w:tc>
          <w:tcPr>
            <w:tcW w:w="793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Общо А+Б</w:t>
            </w:r>
          </w:p>
        </w:tc>
      </w:tr>
      <w:tr w:rsidR="002B743A" w:rsidRPr="002B743A" w:rsidTr="002B743A">
        <w:trPr>
          <w:trHeight w:val="255"/>
        </w:trPr>
        <w:tc>
          <w:tcPr>
            <w:tcW w:w="1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1. По ГСП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616,1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41979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30027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6912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7066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6088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9961</w:t>
            </w:r>
          </w:p>
        </w:tc>
      </w:tr>
      <w:tr w:rsidR="002B743A" w:rsidRPr="002B743A" w:rsidTr="002B743A">
        <w:trPr>
          <w:trHeight w:val="255"/>
        </w:trPr>
        <w:tc>
          <w:tcPr>
            <w:tcW w:w="1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2. Год. план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464,7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30420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25007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5508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4430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2019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13050</w:t>
            </w:r>
          </w:p>
        </w:tc>
      </w:tr>
      <w:tr w:rsidR="002B743A" w:rsidRPr="002B743A" w:rsidTr="002B743A">
        <w:trPr>
          <w:trHeight w:val="255"/>
        </w:trPr>
        <w:tc>
          <w:tcPr>
            <w:tcW w:w="1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% (2/1)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72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83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63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131</w:t>
            </w:r>
          </w:p>
        </w:tc>
      </w:tr>
      <w:tr w:rsidR="002B743A" w:rsidRPr="002B743A" w:rsidTr="002B743A">
        <w:trPr>
          <w:trHeight w:val="255"/>
        </w:trPr>
        <w:tc>
          <w:tcPr>
            <w:tcW w:w="793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А.Иглолистни</w:t>
            </w:r>
          </w:p>
        </w:tc>
      </w:tr>
      <w:tr w:rsidR="002B743A" w:rsidRPr="002B743A" w:rsidTr="002B743A">
        <w:trPr>
          <w:trHeight w:val="255"/>
        </w:trPr>
        <w:tc>
          <w:tcPr>
            <w:tcW w:w="1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1. По ГСП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182,4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12888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7868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1426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2930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2587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925</w:t>
            </w:r>
          </w:p>
        </w:tc>
      </w:tr>
      <w:tr w:rsidR="002B743A" w:rsidRPr="002B743A" w:rsidTr="002B743A">
        <w:trPr>
          <w:trHeight w:val="255"/>
        </w:trPr>
        <w:tc>
          <w:tcPr>
            <w:tcW w:w="1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2. Год. план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128,1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10360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7948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1435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2419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928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3166</w:t>
            </w:r>
          </w:p>
        </w:tc>
      </w:tr>
      <w:tr w:rsidR="002B743A" w:rsidRPr="002B743A" w:rsidTr="002B743A">
        <w:trPr>
          <w:trHeight w:val="255"/>
        </w:trPr>
        <w:tc>
          <w:tcPr>
            <w:tcW w:w="1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% (2/1)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101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101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83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342</w:t>
            </w:r>
          </w:p>
        </w:tc>
      </w:tr>
      <w:tr w:rsidR="002B743A" w:rsidRPr="002B743A" w:rsidTr="002B743A">
        <w:trPr>
          <w:trHeight w:val="255"/>
        </w:trPr>
        <w:tc>
          <w:tcPr>
            <w:tcW w:w="1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в т.ч. бял бор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79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7020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5282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1051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1633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728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1870</w:t>
            </w:r>
          </w:p>
        </w:tc>
      </w:tr>
      <w:tr w:rsidR="002B743A" w:rsidRPr="002B743A" w:rsidTr="002B743A">
        <w:trPr>
          <w:trHeight w:val="255"/>
        </w:trPr>
        <w:tc>
          <w:tcPr>
            <w:tcW w:w="1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смърч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1,6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180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144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79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18</w:t>
            </w:r>
          </w:p>
        </w:tc>
      </w:tr>
      <w:tr w:rsidR="002B743A" w:rsidRPr="002B743A" w:rsidTr="002B743A">
        <w:trPr>
          <w:trHeight w:val="255"/>
        </w:trPr>
        <w:tc>
          <w:tcPr>
            <w:tcW w:w="1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ела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2B743A" w:rsidRPr="002B743A" w:rsidTr="002B743A">
        <w:trPr>
          <w:trHeight w:val="255"/>
        </w:trPr>
        <w:tc>
          <w:tcPr>
            <w:tcW w:w="793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Б.Широколистни</w:t>
            </w:r>
          </w:p>
        </w:tc>
      </w:tr>
      <w:tr w:rsidR="002B743A" w:rsidRPr="002B743A" w:rsidTr="002B743A">
        <w:trPr>
          <w:trHeight w:val="255"/>
        </w:trPr>
        <w:tc>
          <w:tcPr>
            <w:tcW w:w="1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1. По ГСП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433,7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29091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22159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5486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4136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3501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9036</w:t>
            </w:r>
          </w:p>
        </w:tc>
      </w:tr>
      <w:tr w:rsidR="002B743A" w:rsidRPr="002B743A" w:rsidTr="002B743A">
        <w:trPr>
          <w:trHeight w:val="255"/>
        </w:trPr>
        <w:tc>
          <w:tcPr>
            <w:tcW w:w="1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2. Год. план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336,6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20060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17059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4073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2011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1091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9884</w:t>
            </w:r>
          </w:p>
        </w:tc>
      </w:tr>
      <w:tr w:rsidR="002B743A" w:rsidRPr="002B743A" w:rsidTr="002B743A">
        <w:trPr>
          <w:trHeight w:val="255"/>
        </w:trPr>
        <w:tc>
          <w:tcPr>
            <w:tcW w:w="1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% (2/1)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78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69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77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74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109</w:t>
            </w:r>
          </w:p>
        </w:tc>
      </w:tr>
      <w:tr w:rsidR="002B743A" w:rsidRPr="002B743A" w:rsidTr="002B743A">
        <w:trPr>
          <w:trHeight w:val="255"/>
        </w:trPr>
        <w:tc>
          <w:tcPr>
            <w:tcW w:w="1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Бук по ГСП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267,7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19963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15236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5025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2796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1766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5649</w:t>
            </w:r>
          </w:p>
        </w:tc>
      </w:tr>
      <w:tr w:rsidR="002B743A" w:rsidRPr="002B743A" w:rsidTr="002B743A">
        <w:trPr>
          <w:trHeight w:val="255"/>
        </w:trPr>
        <w:tc>
          <w:tcPr>
            <w:tcW w:w="1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Бук год. план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207,8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13190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11520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3768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1283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568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5901</w:t>
            </w:r>
          </w:p>
        </w:tc>
      </w:tr>
      <w:tr w:rsidR="002B743A" w:rsidRPr="002B743A" w:rsidTr="002B743A">
        <w:trPr>
          <w:trHeight w:val="255"/>
        </w:trPr>
        <w:tc>
          <w:tcPr>
            <w:tcW w:w="1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78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66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76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104</w:t>
            </w:r>
          </w:p>
        </w:tc>
      </w:tr>
      <w:tr w:rsidR="002B743A" w:rsidRPr="002B743A" w:rsidTr="002B743A">
        <w:trPr>
          <w:trHeight w:val="255"/>
        </w:trPr>
        <w:tc>
          <w:tcPr>
            <w:tcW w:w="1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Дъб по ГСП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34,8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1451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1172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109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287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293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483</w:t>
            </w:r>
          </w:p>
        </w:tc>
      </w:tr>
      <w:tr w:rsidR="002B743A" w:rsidRPr="002B743A" w:rsidTr="002B743A">
        <w:trPr>
          <w:trHeight w:val="255"/>
        </w:trPr>
        <w:tc>
          <w:tcPr>
            <w:tcW w:w="1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Дъб год. план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21,6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970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782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205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63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495</w:t>
            </w:r>
          </w:p>
        </w:tc>
      </w:tr>
      <w:tr w:rsidR="002B743A" w:rsidRPr="002B743A" w:rsidTr="002B743A">
        <w:trPr>
          <w:trHeight w:val="255"/>
        </w:trPr>
        <w:tc>
          <w:tcPr>
            <w:tcW w:w="1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62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67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67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188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102</w:t>
            </w:r>
          </w:p>
        </w:tc>
      </w:tr>
      <w:tr w:rsidR="002B743A" w:rsidRPr="002B743A" w:rsidTr="002B743A">
        <w:trPr>
          <w:trHeight w:val="255"/>
        </w:trPr>
        <w:tc>
          <w:tcPr>
            <w:tcW w:w="1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Цер по ГСП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64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53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</w:tr>
      <w:tr w:rsidR="002B743A" w:rsidRPr="002B743A" w:rsidTr="002B743A">
        <w:trPr>
          <w:trHeight w:val="255"/>
        </w:trPr>
        <w:tc>
          <w:tcPr>
            <w:tcW w:w="1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Цер год. план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1,2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130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105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85</w:t>
            </w:r>
          </w:p>
        </w:tc>
      </w:tr>
      <w:tr w:rsidR="002B743A" w:rsidRPr="002B743A" w:rsidTr="002B743A">
        <w:trPr>
          <w:trHeight w:val="255"/>
        </w:trPr>
        <w:tc>
          <w:tcPr>
            <w:tcW w:w="1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#DIV/0!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203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198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106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425</w:t>
            </w:r>
          </w:p>
        </w:tc>
      </w:tr>
      <w:tr w:rsidR="002B743A" w:rsidRPr="002B743A" w:rsidTr="002B743A">
        <w:trPr>
          <w:trHeight w:val="255"/>
        </w:trPr>
        <w:tc>
          <w:tcPr>
            <w:tcW w:w="1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Топола по ГСП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2B743A" w:rsidRPr="002B743A" w:rsidTr="002B743A">
        <w:trPr>
          <w:trHeight w:val="255"/>
        </w:trPr>
        <w:tc>
          <w:tcPr>
            <w:tcW w:w="1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Топола год. план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2B743A" w:rsidRPr="002B743A" w:rsidTr="002B743A">
        <w:trPr>
          <w:trHeight w:val="255"/>
        </w:trPr>
        <w:tc>
          <w:tcPr>
            <w:tcW w:w="1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#DIV/0!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#DIV/0!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#DIV/0!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#DIV/0!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#DIV/0!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#DIV/0!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#DIV/0!</w:t>
            </w:r>
          </w:p>
        </w:tc>
      </w:tr>
      <w:tr w:rsidR="002B743A" w:rsidRPr="002B743A" w:rsidTr="002B743A">
        <w:trPr>
          <w:trHeight w:val="255"/>
        </w:trPr>
        <w:tc>
          <w:tcPr>
            <w:tcW w:w="1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Акация по ГСП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16,7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1481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1300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322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978</w:t>
            </w:r>
          </w:p>
        </w:tc>
      </w:tr>
      <w:tr w:rsidR="002B743A" w:rsidRPr="002B743A" w:rsidTr="002B743A">
        <w:trPr>
          <w:trHeight w:val="255"/>
        </w:trPr>
        <w:tc>
          <w:tcPr>
            <w:tcW w:w="1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Акация год. план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11,5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980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892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837</w:t>
            </w:r>
          </w:p>
        </w:tc>
      </w:tr>
      <w:tr w:rsidR="002B743A" w:rsidRPr="002B743A" w:rsidTr="002B743A">
        <w:trPr>
          <w:trHeight w:val="255"/>
        </w:trPr>
        <w:tc>
          <w:tcPr>
            <w:tcW w:w="1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69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66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69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#DIV/0!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#DIV/0!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86</w:t>
            </w:r>
          </w:p>
        </w:tc>
      </w:tr>
      <w:tr w:rsidR="002B743A" w:rsidRPr="002B743A" w:rsidTr="002B743A">
        <w:trPr>
          <w:trHeight w:val="255"/>
        </w:trPr>
        <w:tc>
          <w:tcPr>
            <w:tcW w:w="1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Др.шир.по ГСП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114,5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6132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4398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347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1035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1110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1906</w:t>
            </w:r>
          </w:p>
        </w:tc>
      </w:tr>
      <w:tr w:rsidR="002B743A" w:rsidRPr="002B743A" w:rsidTr="002B743A">
        <w:trPr>
          <w:trHeight w:val="255"/>
        </w:trPr>
        <w:tc>
          <w:tcPr>
            <w:tcW w:w="1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Др.шир. год. план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94,5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4790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3760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646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448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2566</w:t>
            </w:r>
          </w:p>
        </w:tc>
      </w:tr>
      <w:tr w:rsidR="002B743A" w:rsidRPr="002B743A" w:rsidTr="002B743A">
        <w:trPr>
          <w:trHeight w:val="255"/>
        </w:trPr>
        <w:tc>
          <w:tcPr>
            <w:tcW w:w="1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83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78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85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43A" w:rsidRPr="002B743A" w:rsidRDefault="002B743A" w:rsidP="002B74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43A">
              <w:rPr>
                <w:rFonts w:ascii="Times New Roman" w:eastAsia="Times New Roman" w:hAnsi="Times New Roman" w:cs="Times New Roman"/>
                <w:sz w:val="20"/>
                <w:szCs w:val="20"/>
              </w:rPr>
              <w:t>135</w:t>
            </w:r>
          </w:p>
        </w:tc>
      </w:tr>
    </w:tbl>
    <w:p w:rsidR="00432A4F" w:rsidRDefault="0079069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lastRenderedPageBreak/>
        <w:t xml:space="preserve">2. Недървесни продукти – </w:t>
      </w:r>
      <w:r>
        <w:rPr>
          <w:rFonts w:ascii="Times New Roman" w:eastAsia="Times New Roman" w:hAnsi="Times New Roman" w:cs="Times New Roman"/>
          <w:sz w:val="24"/>
        </w:rPr>
        <w:t>Територията на ТП ДГС Буйновци обхваща планински район с малки села, което предполага потенциалното наличие на ВКС 5. Анализа на данните за нуждите и ползванията на населението, обаче, показват нисък интерес и липса на зависимост на местното население от горските ресурси:</w:t>
      </w:r>
    </w:p>
    <w:p w:rsidR="00432A4F" w:rsidRDefault="00790698">
      <w:pPr>
        <w:numPr>
          <w:ilvl w:val="0"/>
          <w:numId w:val="1"/>
        </w:numPr>
        <w:tabs>
          <w:tab w:val="left" w:pos="1440"/>
          <w:tab w:val="left" w:pos="284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На територията на горското стопанство има само 5 селища като всички са с по-малко от 2</w:t>
      </w:r>
      <w:r w:rsidR="00B26252">
        <w:rPr>
          <w:rFonts w:ascii="Times New Roman" w:eastAsia="Times New Roman" w:hAnsi="Times New Roman" w:cs="Times New Roman"/>
          <w:sz w:val="24"/>
        </w:rPr>
        <w:t>0</w:t>
      </w:r>
      <w:r>
        <w:rPr>
          <w:rFonts w:ascii="Times New Roman" w:eastAsia="Times New Roman" w:hAnsi="Times New Roman" w:cs="Times New Roman"/>
          <w:sz w:val="24"/>
        </w:rPr>
        <w:t xml:space="preserve">0 жители. Общия брой на населението е около </w:t>
      </w:r>
      <w:r w:rsidR="00B26252">
        <w:rPr>
          <w:rFonts w:ascii="Times New Roman" w:eastAsia="Times New Roman" w:hAnsi="Times New Roman" w:cs="Times New Roman"/>
          <w:sz w:val="24"/>
        </w:rPr>
        <w:t>5</w:t>
      </w:r>
      <w:r>
        <w:rPr>
          <w:rFonts w:ascii="Times New Roman" w:eastAsia="Times New Roman" w:hAnsi="Times New Roman" w:cs="Times New Roman"/>
          <w:sz w:val="24"/>
        </w:rPr>
        <w:t>00</w:t>
      </w:r>
      <w:r w:rsidR="00B26252">
        <w:rPr>
          <w:rFonts w:ascii="Times New Roman" w:eastAsia="Times New Roman" w:hAnsi="Times New Roman" w:cs="Times New Roman"/>
          <w:sz w:val="24"/>
        </w:rPr>
        <w:t>-600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</w:rPr>
        <w:t xml:space="preserve"> души.</w:t>
      </w:r>
    </w:p>
    <w:p w:rsidR="00432A4F" w:rsidRDefault="00790698">
      <w:pPr>
        <w:numPr>
          <w:ilvl w:val="0"/>
          <w:numId w:val="1"/>
        </w:numPr>
        <w:tabs>
          <w:tab w:val="left" w:pos="1440"/>
          <w:tab w:val="left" w:pos="284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ДГС Буйновци предоставя дърва за огрев и битови нужди на местното население според предявените нужди, но като цяло снабдяването на исканите количества дърва се осигурява от дърводобивни фирми.</w:t>
      </w:r>
    </w:p>
    <w:p w:rsidR="00432A4F" w:rsidRDefault="00790698">
      <w:pPr>
        <w:numPr>
          <w:ilvl w:val="0"/>
          <w:numId w:val="1"/>
        </w:numPr>
        <w:tabs>
          <w:tab w:val="left" w:pos="1440"/>
          <w:tab w:val="left" w:pos="284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Животновъдството в района е слабо развито и населението не проявява интерес към определените за паша терени.</w:t>
      </w:r>
    </w:p>
    <w:p w:rsidR="00432A4F" w:rsidRDefault="00790698">
      <w:pPr>
        <w:numPr>
          <w:ilvl w:val="0"/>
          <w:numId w:val="1"/>
        </w:numPr>
        <w:tabs>
          <w:tab w:val="left" w:pos="1440"/>
          <w:tab w:val="left" w:pos="284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Ползванията на останалите недървесни продукти е инцидентно. Издадените позволителни за ползване за последните години са средно 2-3 на брой за година     – за събиране на левурда, гъби, листа от глухарче. Събраните НДГП се предават в пунктове в гр. Елена.</w:t>
      </w:r>
    </w:p>
    <w:p w:rsidR="00432A4F" w:rsidRDefault="00790698">
      <w:pPr>
        <w:numPr>
          <w:ilvl w:val="0"/>
          <w:numId w:val="1"/>
        </w:numPr>
        <w:tabs>
          <w:tab w:val="left" w:pos="1440"/>
          <w:tab w:val="left" w:pos="284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Лов – по План за ловностопански дейности;</w:t>
      </w:r>
    </w:p>
    <w:p w:rsidR="00432A4F" w:rsidRDefault="00790698">
      <w:pPr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II. Регулиращи услуги - ползи от процесите в екосистемите</w:t>
      </w:r>
    </w:p>
    <w:p w:rsidR="00432A4F" w:rsidRDefault="00790698">
      <w:pPr>
        <w:spacing w:after="12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ab/>
        <w:t>Водорегулираща и водозащитна услуга на горската растителност има огромно значение за количеството и качеството на водите, които изтичат от водосборните басейни. Горските екосистеми реализират две основни хидрологични функции – водоохранна и водорегулираща. Водоохранна функция е способността на горите да стабилизират повърхностните и подпочвени води на определена територия (водосбор) за дълъг период от време. Водорегулиращата функция се изразява в способността на горските екосистеми да преразпределят елементите на водния баланс, като увеличават дела на положителните (продуктивни) пера и намаляват непродуктивните (отрицателни) такива. Екосистемите осигуряват смекчаване и регулиране на въздействията от промените на климата.</w:t>
      </w:r>
    </w:p>
    <w:p w:rsidR="00432A4F" w:rsidRDefault="00790698">
      <w:pPr>
        <w:spacing w:after="0" w:line="48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1. Водоохранна функция - Вододайната зона е обявена с протокол от 14.12.76 г., одобрен на 16.11.1978 г. от Министерството на строежите и архитектурата и съгласувано с МГГП с писмо № 12300/20.10.1978 г. с обща площ 11 373,8 ха, от която залесена – 10973,0 ха и незалесена – 400,8 ха / ДГТ – 7781, 9 ха / и със Заповед № СОЗ-34/28.12.2004 г. на Директора на Басейнова дирекция „Дунавски район” /БДДР/ за учредяване на санитарно-охранителна зона на яз. „Йовковци”, предназначен за питейно-битово водоснабдяване.</w:t>
      </w:r>
    </w:p>
    <w:p w:rsidR="00432A4F" w:rsidRDefault="00790698">
      <w:pPr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Включените горскостопански единици са посочени в действащия горскостопански план на ДГС Буйновци от 2012 година.</w:t>
      </w:r>
    </w:p>
    <w:p w:rsidR="00432A4F" w:rsidRDefault="00790698">
      <w:pPr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2. Водорегулиращата функция - На територията на ТП ДЛС Буйновци са идентифицирани гори, които отговарят на определението за ВКС 4.2. т. 3, като горна граница на гората - с  обща площ  от  10,0 ха.</w:t>
      </w:r>
    </w:p>
    <w:p w:rsidR="00432A4F" w:rsidRDefault="0079069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3. Противоерозионна функция –</w:t>
      </w:r>
    </w:p>
    <w:p w:rsidR="00432A4F" w:rsidRDefault="007906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В България за ГВКС се приемат всички ЗГГФ, представляващи:</w:t>
      </w:r>
    </w:p>
    <w:p w:rsidR="00432A4F" w:rsidRDefault="007906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1. ЗГГФ с наклон над 30</w:t>
      </w:r>
      <w:r>
        <w:rPr>
          <w:rFonts w:ascii="Times New Roman" w:eastAsia="Times New Roman" w:hAnsi="Times New Roman" w:cs="Times New Roman"/>
          <w:b/>
          <w:sz w:val="24"/>
          <w:vertAlign w:val="superscript"/>
        </w:rPr>
        <w:t>о</w:t>
      </w:r>
      <w:r>
        <w:rPr>
          <w:rFonts w:ascii="Times New Roman" w:eastAsia="Times New Roman" w:hAnsi="Times New Roman" w:cs="Times New Roman"/>
          <w:b/>
          <w:sz w:val="24"/>
        </w:rPr>
        <w:t xml:space="preserve"> (или по-малък, при разположение под обработваеми земи, поляни, голини, редини, които са с наклон над 10</w:t>
      </w:r>
      <w:r>
        <w:rPr>
          <w:rFonts w:ascii="Times New Roman" w:eastAsia="Times New Roman" w:hAnsi="Times New Roman" w:cs="Times New Roman"/>
          <w:b/>
          <w:sz w:val="24"/>
          <w:vertAlign w:val="superscript"/>
        </w:rPr>
        <w:t>о</w:t>
      </w:r>
      <w:r>
        <w:rPr>
          <w:rFonts w:ascii="Times New Roman" w:eastAsia="Times New Roman" w:hAnsi="Times New Roman" w:cs="Times New Roman"/>
          <w:b/>
          <w:sz w:val="24"/>
        </w:rPr>
        <w:t xml:space="preserve"> и дължина по-голяма от 200 м) с площ над 1 ha и пълнота над 0,6;</w:t>
      </w:r>
    </w:p>
    <w:p w:rsidR="00432A4F" w:rsidRDefault="007906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2. Гори създадени по технически проекти за борба с ерозията, корекционни, брегозащитни и колматажни горски пояси;</w:t>
      </w:r>
    </w:p>
    <w:p w:rsidR="00432A4F" w:rsidRDefault="007906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lastRenderedPageBreak/>
        <w:t>3. Гори предпазващи населени места или комуникации, разположени на пътя на паднали до момента лавини по данни от Планинската спасителна служба, гори в снегосборна област с наклон между 20</w:t>
      </w:r>
      <w:r>
        <w:rPr>
          <w:rFonts w:ascii="Times New Roman" w:eastAsia="Times New Roman" w:hAnsi="Times New Roman" w:cs="Times New Roman"/>
          <w:b/>
          <w:sz w:val="24"/>
          <w:vertAlign w:val="superscript"/>
        </w:rPr>
        <w:t>о</w:t>
      </w:r>
      <w:r>
        <w:rPr>
          <w:rFonts w:ascii="Times New Roman" w:eastAsia="Times New Roman" w:hAnsi="Times New Roman" w:cs="Times New Roman"/>
          <w:b/>
          <w:sz w:val="24"/>
        </w:rPr>
        <w:t>–50</w:t>
      </w:r>
      <w:r>
        <w:rPr>
          <w:rFonts w:ascii="Times New Roman" w:eastAsia="Times New Roman" w:hAnsi="Times New Roman" w:cs="Times New Roman"/>
          <w:b/>
          <w:sz w:val="24"/>
          <w:vertAlign w:val="superscript"/>
        </w:rPr>
        <w:t>о</w:t>
      </w:r>
      <w:r>
        <w:rPr>
          <w:rFonts w:ascii="Times New Roman" w:eastAsia="Times New Roman" w:hAnsi="Times New Roman" w:cs="Times New Roman"/>
          <w:b/>
          <w:sz w:val="24"/>
        </w:rPr>
        <w:t>, както и такива разположени под обезлесена снегосборна област с дължина над 200 м. и наклон над 20</w:t>
      </w:r>
      <w:r>
        <w:rPr>
          <w:rFonts w:ascii="Times New Roman" w:eastAsia="Times New Roman" w:hAnsi="Times New Roman" w:cs="Times New Roman"/>
          <w:b/>
          <w:sz w:val="24"/>
          <w:vertAlign w:val="superscript"/>
        </w:rPr>
        <w:t>о</w:t>
      </w:r>
      <w:r>
        <w:rPr>
          <w:rFonts w:ascii="Times New Roman" w:eastAsia="Times New Roman" w:hAnsi="Times New Roman" w:cs="Times New Roman"/>
          <w:b/>
          <w:sz w:val="24"/>
        </w:rPr>
        <w:t>.</w:t>
      </w:r>
    </w:p>
    <w:p w:rsidR="00432A4F" w:rsidRDefault="00432A4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</w:p>
    <w:p w:rsidR="00432A4F" w:rsidRDefault="0079069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От ЗГГФ, включени на територията на ДГС Буйновци за тази консервационна стойност са идентифицирани гори, отговарящи на т. 1 и т. 2. От проведените интервюта не са установени гори, отговарящи на критериите на т. 3.</w:t>
      </w:r>
    </w:p>
    <w:p w:rsidR="00432A4F" w:rsidRDefault="007906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1. ЗГГФ с наклон над 30</w:t>
      </w:r>
      <w:r>
        <w:rPr>
          <w:rFonts w:ascii="Times New Roman" w:eastAsia="Times New Roman" w:hAnsi="Times New Roman" w:cs="Times New Roman"/>
          <w:b/>
          <w:color w:val="000000"/>
          <w:sz w:val="24"/>
          <w:vertAlign w:val="superscript"/>
        </w:rPr>
        <w:t>о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(или по-малък, при разположение под обработваеми земи, поляни, голини, редини, които са с наклон над 10</w:t>
      </w:r>
      <w:r>
        <w:rPr>
          <w:rFonts w:ascii="Times New Roman" w:eastAsia="Times New Roman" w:hAnsi="Times New Roman" w:cs="Times New Roman"/>
          <w:b/>
          <w:color w:val="000000"/>
          <w:sz w:val="24"/>
          <w:vertAlign w:val="superscript"/>
        </w:rPr>
        <w:t>о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и дължина по-голяма от 200 м) с площ над 1 ha и пълнота над 0,6;</w:t>
      </w:r>
    </w:p>
    <w:p w:rsidR="00432A4F" w:rsidRDefault="00432A4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432A4F" w:rsidRDefault="007906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Насаждения с наклон над 30</w:t>
      </w:r>
      <w:r>
        <w:rPr>
          <w:rFonts w:ascii="Times New Roman" w:eastAsia="Times New Roman" w:hAnsi="Times New Roman" w:cs="Times New Roman"/>
          <w:b/>
          <w:color w:val="000000"/>
          <w:sz w:val="24"/>
          <w:vertAlign w:val="superscript"/>
        </w:rPr>
        <w:t>о</w:t>
      </w:r>
    </w:p>
    <w:p w:rsidR="00432A4F" w:rsidRDefault="007906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Списък на отдели и подотдели с наклон над 30</w:t>
      </w:r>
      <w:r>
        <w:rPr>
          <w:rFonts w:ascii="Times New Roman" w:eastAsia="Times New Roman" w:hAnsi="Times New Roman" w:cs="Times New Roman"/>
          <w:color w:val="000000"/>
          <w:sz w:val="24"/>
          <w:vertAlign w:val="superscript"/>
        </w:rPr>
        <w:t>о</w:t>
      </w:r>
      <w:r>
        <w:rPr>
          <w:rFonts w:ascii="Times New Roman" w:eastAsia="Times New Roman" w:hAnsi="Times New Roman" w:cs="Times New Roman"/>
          <w:b/>
          <w:color w:val="000000"/>
          <w:sz w:val="24"/>
          <w:vertAlign w:val="superscript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по ГСП от 2012 г. -</w:t>
      </w:r>
      <w:r>
        <w:rPr>
          <w:rFonts w:ascii="Times New Roman" w:eastAsia="Times New Roman" w:hAnsi="Times New Roman" w:cs="Times New Roman"/>
          <w:b/>
          <w:sz w:val="24"/>
        </w:rPr>
        <w:t xml:space="preserve"> описани подробно в доклада за ГВКС</w:t>
      </w:r>
    </w:p>
    <w:p w:rsidR="00432A4F" w:rsidRDefault="00432A4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432A4F" w:rsidRDefault="007906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2. Гори, създадени по технически проекти за борба с ерозията - отдели 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157, 189 - площ 5,0 ха   </w:t>
      </w:r>
    </w:p>
    <w:p w:rsidR="00432A4F" w:rsidRDefault="00790698">
      <w:pPr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III. Културни и социални услуги - нематериални ползи от екосистемите</w:t>
      </w:r>
    </w:p>
    <w:p w:rsidR="00432A4F" w:rsidRDefault="00790698">
      <w:pPr>
        <w:spacing w:after="12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Културните услуги са нематериални ползи от екосистемите. </w:t>
      </w:r>
    </w:p>
    <w:p w:rsidR="00432A4F" w:rsidRDefault="00790698">
      <w:pPr>
        <w:spacing w:after="12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Осигуряването на условия за рекреация и туризъм прави горите предпочитано място за почивка на хиляди хора.</w:t>
      </w:r>
    </w:p>
    <w:p w:rsidR="00432A4F" w:rsidRDefault="00790698">
      <w:pPr>
        <w:spacing w:after="12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Повечето хора високо ценят красотата или естетическата стойност на различните екосистеми, което се отразява в широкия интерес към еко-пътеки, маршрути и обозначени панорамни места, както и при избора на къщи и жилища и готовността да се плати по-висока цена за красива гледка.</w:t>
      </w:r>
    </w:p>
    <w:p w:rsidR="00432A4F" w:rsidRDefault="00790698">
      <w:pPr>
        <w:spacing w:after="12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Горите, с цялото си разнообразие, са богат източник на творческо вдъхновение в много сфери – изкуство, фолклор, архитектура, реклама и други. Хората ценят чувството си за принадлежност към родния край, което е свързано с отличителни черти на околната среда.</w:t>
      </w:r>
    </w:p>
    <w:p w:rsidR="00432A4F" w:rsidRDefault="00790698">
      <w:pPr>
        <w:suppressAutoHyphens/>
        <w:jc w:val="both"/>
        <w:rPr>
          <w:rFonts w:ascii="Times New Roman" w:eastAsia="Times New Roman" w:hAnsi="Times New Roman" w:cs="Times New Roman"/>
          <w:b/>
          <w:color w:val="000000"/>
          <w:sz w:val="24"/>
          <w:shd w:val="clear" w:color="auto" w:fill="00FF00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1. Образователна стойност - съвместни дейности със СЦДП ДП – Габрово по организиране на седмица на гората с училища в инициативата “Лесовъд за един ден”.</w:t>
      </w:r>
    </w:p>
    <w:p w:rsidR="00432A4F" w:rsidRDefault="00790698">
      <w:pPr>
        <w:suppressAutoHyphens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2. Осигуряване на условия за рекреация и туризъм - посочват се вече създадени или планирани нови или такива за ремонт и поддръжка: кътове за отдих, чешми, огледни места, екопътеки, туристически маршрути и др.</w:t>
      </w:r>
    </w:p>
    <w:p w:rsidR="00432A4F" w:rsidRDefault="0079069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3. Естетична стойност на ландшафта - При определянето на тази консервационна стойност се включват типични ландшафти и тяхното биологично многообразие от района на Стара планина. Горите на територията на ДГС Буйновци отговарят на критериите на консервационната стойност, разглеждани в пространството на целия старопланински масив. </w:t>
      </w:r>
    </w:p>
    <w:p w:rsidR="00432A4F" w:rsidRDefault="0079069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4. Горите като източник на културни услуги, вдъхновение и принадлежност за хората, и като среда и обект на духовна и религиозна идентичност.</w:t>
      </w:r>
    </w:p>
    <w:p w:rsidR="00432A4F" w:rsidRDefault="0079069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ab/>
        <w:t>На територията на ТП ДГС Буйновци има манастир, наречен Св. Илия. Манастирът се намира в населено място (с. Буйновци) и няма значими горски територии около него. Има и малък параклис, също в с. Буйновци.</w:t>
      </w:r>
    </w:p>
    <w:p w:rsidR="00B46E18" w:rsidRDefault="00B46E1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:rsidR="00432A4F" w:rsidRDefault="007906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ab/>
      </w:r>
    </w:p>
    <w:p w:rsidR="00432A4F" w:rsidRDefault="00790698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28.01.2019 г.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>Изготвил:</w:t>
      </w:r>
    </w:p>
    <w:p w:rsidR="00432A4F" w:rsidRDefault="00790698" w:rsidP="00B46E18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с. Буйновци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 xml:space="preserve">                         /инж. Д. Колева/</w:t>
      </w:r>
    </w:p>
    <w:sectPr w:rsidR="00432A4F" w:rsidSect="002B743A">
      <w:pgSz w:w="11906" w:h="16838"/>
      <w:pgMar w:top="964" w:right="1247" w:bottom="964" w:left="124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7AF69A5"/>
    <w:multiLevelType w:val="multilevel"/>
    <w:tmpl w:val="5D6EBF0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32A4F"/>
    <w:rsid w:val="000E076C"/>
    <w:rsid w:val="002B743A"/>
    <w:rsid w:val="00432A4F"/>
    <w:rsid w:val="00656E24"/>
    <w:rsid w:val="00790698"/>
    <w:rsid w:val="00B26252"/>
    <w:rsid w:val="00B42526"/>
    <w:rsid w:val="00B46E18"/>
    <w:rsid w:val="00FB0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894317"/>
  <w15:docId w15:val="{365A2910-9087-4D0E-B47C-239F90519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1840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1219</Words>
  <Characters>6953</Characters>
  <Application>Microsoft Office Word</Application>
  <DocSecurity>0</DocSecurity>
  <Lines>57</Lines>
  <Paragraphs>16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D.Mitev</cp:lastModifiedBy>
  <cp:revision>9</cp:revision>
  <dcterms:created xsi:type="dcterms:W3CDTF">2019-06-10T11:06:00Z</dcterms:created>
  <dcterms:modified xsi:type="dcterms:W3CDTF">2019-06-10T11:52:00Z</dcterms:modified>
</cp:coreProperties>
</file>